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5CD84" w14:textId="38DC9D11" w:rsidR="00217B4C" w:rsidRPr="00217B4C" w:rsidRDefault="00217B4C" w:rsidP="007001E9">
      <w:pPr>
        <w:pStyle w:val="Default"/>
        <w:rPr>
          <w:rFonts w:ascii="Tw Cen MT Condensed Extra Bold" w:hAnsi="Tw Cen MT Condensed Extra Bold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5928165" wp14:editId="73297FA7">
            <wp:simplePos x="0" y="0"/>
            <wp:positionH relativeFrom="margin">
              <wp:posOffset>-101600</wp:posOffset>
            </wp:positionH>
            <wp:positionV relativeFrom="margin">
              <wp:posOffset>-139700</wp:posOffset>
            </wp:positionV>
            <wp:extent cx="1752600" cy="533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 w:rsidR="00517A1F">
        <w:rPr>
          <w:rFonts w:ascii="Tw Cen MT Condensed Extra Bold" w:hAnsi="Tw Cen MT Condensed Extra Bold"/>
          <w:sz w:val="40"/>
          <w:szCs w:val="40"/>
        </w:rPr>
        <w:t>Zen-</w:t>
      </w:r>
      <w:r w:rsidR="00D06395">
        <w:rPr>
          <w:rFonts w:ascii="Tw Cen MT Condensed Extra Bold" w:hAnsi="Tw Cen MT Condensed Extra Bold"/>
          <w:sz w:val="40"/>
          <w:szCs w:val="40"/>
        </w:rPr>
        <w:t>Core288</w:t>
      </w:r>
      <w:r w:rsidR="007B2E46">
        <w:rPr>
          <w:rFonts w:ascii="Tw Cen MT Condensed Extra Bold" w:hAnsi="Tw Cen MT Condensed Extra Bold"/>
          <w:sz w:val="40"/>
          <w:szCs w:val="40"/>
        </w:rPr>
        <w:t>_</w:t>
      </w:r>
      <w:r w:rsidR="00FC7E6C">
        <w:rPr>
          <w:rFonts w:ascii="Tw Cen MT Condensed Extra Bold" w:hAnsi="Tw Cen MT Condensed Extra Bold"/>
          <w:sz w:val="40"/>
          <w:szCs w:val="40"/>
        </w:rPr>
        <w:t>XraySingle</w:t>
      </w:r>
    </w:p>
    <w:p w14:paraId="148A1A9C" w14:textId="54C7FDD1" w:rsidR="007001E9" w:rsidRDefault="00217B4C" w:rsidP="007001E9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499CF" wp14:editId="3558584C">
                <wp:simplePos x="0" y="0"/>
                <wp:positionH relativeFrom="page">
                  <wp:align>left</wp:align>
                </wp:positionH>
                <wp:positionV relativeFrom="paragraph">
                  <wp:posOffset>201294</wp:posOffset>
                </wp:positionV>
                <wp:extent cx="7734300" cy="45719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34300" cy="45719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319F2" id="Rectangle 1" o:spid="_x0000_s1026" style="position:absolute;margin-left:0;margin-top:15.85pt;width:609pt;height:3.6pt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" fillcolor="#7030a0" stroked="f" strokeweight="2pt">
                <w10:wrap anchorx="page"/>
              </v:rect>
            </w:pict>
          </mc:Fallback>
        </mc:AlternateContent>
      </w:r>
    </w:p>
    <w:p w14:paraId="148A1A9E" w14:textId="1FF631AF" w:rsidR="007001E9" w:rsidRPr="0075036F" w:rsidRDefault="007001E9" w:rsidP="007001E9">
      <w:pPr>
        <w:pStyle w:val="Default"/>
      </w:pPr>
      <w:r>
        <w:t xml:space="preserve"> </w:t>
      </w:r>
    </w:p>
    <w:p w14:paraId="148A1A9F" w14:textId="561D7C17" w:rsidR="007001E9" w:rsidRPr="008E5384" w:rsidRDefault="0075036F" w:rsidP="007001E9">
      <w:pPr>
        <w:pStyle w:val="Default"/>
        <w:rPr>
          <w:szCs w:val="22"/>
        </w:rPr>
      </w:pPr>
      <w:r w:rsidRPr="008E5384">
        <w:rPr>
          <w:b/>
          <w:bCs/>
          <w:szCs w:val="22"/>
        </w:rPr>
        <w:t>Application</w:t>
      </w:r>
    </w:p>
    <w:p w14:paraId="4AAB1B98" w14:textId="0AF3148B" w:rsidR="00FE53DD" w:rsidRDefault="00517A1F" w:rsidP="007001E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Zen-</w:t>
      </w:r>
      <w:r w:rsidR="00F41CAA">
        <w:rPr>
          <w:sz w:val="22"/>
          <w:szCs w:val="22"/>
        </w:rPr>
        <w:t>Core288</w:t>
      </w:r>
      <w:r w:rsidR="00FC7E6C">
        <w:rPr>
          <w:sz w:val="22"/>
          <w:szCs w:val="22"/>
        </w:rPr>
        <w:t>_XraySingle</w:t>
      </w:r>
      <w:r w:rsidR="007001E9">
        <w:rPr>
          <w:sz w:val="22"/>
          <w:szCs w:val="22"/>
        </w:rPr>
        <w:t xml:space="preserve"> </w:t>
      </w:r>
      <w:r w:rsidR="007001E9" w:rsidRPr="009406E9">
        <w:rPr>
          <w:sz w:val="22"/>
          <w:szCs w:val="22"/>
        </w:rPr>
        <w:t>is</w:t>
      </w:r>
      <w:r w:rsidR="000B7C31">
        <w:rPr>
          <w:sz w:val="22"/>
          <w:szCs w:val="22"/>
        </w:rPr>
        <w:t xml:space="preserve"> a</w:t>
      </w:r>
      <w:r w:rsidR="007001E9" w:rsidRPr="009406E9">
        <w:rPr>
          <w:sz w:val="22"/>
          <w:szCs w:val="22"/>
        </w:rPr>
        <w:t xml:space="preserve"> </w:t>
      </w:r>
      <w:r w:rsidR="00C050B8">
        <w:rPr>
          <w:sz w:val="22"/>
          <w:szCs w:val="22"/>
        </w:rPr>
        <w:t>crystallographic screen</w:t>
      </w:r>
      <w:r w:rsidR="000B7C31">
        <w:rPr>
          <w:sz w:val="22"/>
          <w:szCs w:val="22"/>
        </w:rPr>
        <w:t xml:space="preserve"> used</w:t>
      </w:r>
      <w:r w:rsidR="00C050B8">
        <w:rPr>
          <w:sz w:val="22"/>
          <w:szCs w:val="22"/>
        </w:rPr>
        <w:t xml:space="preserve"> to detect </w:t>
      </w:r>
      <w:r w:rsidR="009406E9" w:rsidRPr="009406E9">
        <w:rPr>
          <w:sz w:val="22"/>
          <w:szCs w:val="22"/>
        </w:rPr>
        <w:t>weak</w:t>
      </w:r>
      <w:r w:rsidR="00C050B8">
        <w:rPr>
          <w:sz w:val="22"/>
          <w:szCs w:val="22"/>
        </w:rPr>
        <w:t>ly binding ligands and obtain</w:t>
      </w:r>
      <w:r w:rsidR="009406E9" w:rsidRPr="009406E9">
        <w:rPr>
          <w:sz w:val="22"/>
          <w:szCs w:val="22"/>
        </w:rPr>
        <w:t xml:space="preserve"> the x-ray structure in parallel. </w:t>
      </w:r>
      <w:r w:rsidR="00C050B8">
        <w:rPr>
          <w:sz w:val="22"/>
          <w:szCs w:val="22"/>
        </w:rPr>
        <w:t>Since the</w:t>
      </w:r>
      <w:r w:rsidR="009406E9" w:rsidRPr="009406E9">
        <w:rPr>
          <w:sz w:val="22"/>
          <w:szCs w:val="22"/>
        </w:rPr>
        <w:t xml:space="preserve"> introduction</w:t>
      </w:r>
      <w:r w:rsidR="00C050B8">
        <w:rPr>
          <w:sz w:val="22"/>
          <w:szCs w:val="22"/>
        </w:rPr>
        <w:t xml:space="preserve"> of crystallographic screening</w:t>
      </w:r>
      <w:r w:rsidR="009406E9" w:rsidRPr="009406E9">
        <w:rPr>
          <w:sz w:val="22"/>
          <w:szCs w:val="22"/>
        </w:rPr>
        <w:t>, there have been many advancements in robotics, x-ray data collection</w:t>
      </w:r>
      <w:r w:rsidR="007B0051">
        <w:rPr>
          <w:sz w:val="22"/>
          <w:szCs w:val="22"/>
        </w:rPr>
        <w:t>,</w:t>
      </w:r>
      <w:r w:rsidR="009406E9" w:rsidRPr="009406E9">
        <w:rPr>
          <w:sz w:val="22"/>
          <w:szCs w:val="22"/>
        </w:rPr>
        <w:t xml:space="preserve"> and processing</w:t>
      </w:r>
      <w:r w:rsidR="007B0051">
        <w:rPr>
          <w:sz w:val="22"/>
          <w:szCs w:val="22"/>
        </w:rPr>
        <w:t>,</w:t>
      </w:r>
      <w:r w:rsidR="009406E9" w:rsidRPr="009406E9">
        <w:rPr>
          <w:sz w:val="22"/>
          <w:szCs w:val="22"/>
        </w:rPr>
        <w:t xml:space="preserve"> making it efficient and profitable to screen directly with crystallography.</w:t>
      </w:r>
    </w:p>
    <w:p w14:paraId="148A1AA1" w14:textId="77777777" w:rsidR="007001E9" w:rsidRDefault="007001E9" w:rsidP="007001E9">
      <w:pPr>
        <w:pStyle w:val="Default"/>
        <w:rPr>
          <w:b/>
          <w:bCs/>
          <w:sz w:val="22"/>
          <w:szCs w:val="22"/>
        </w:rPr>
      </w:pPr>
    </w:p>
    <w:p w14:paraId="148A1AA2" w14:textId="77777777" w:rsidR="007001E9" w:rsidRPr="008E5384" w:rsidRDefault="007001E9" w:rsidP="007001E9">
      <w:pPr>
        <w:pStyle w:val="Default"/>
        <w:rPr>
          <w:szCs w:val="22"/>
        </w:rPr>
      </w:pPr>
      <w:r w:rsidRPr="008E5384">
        <w:rPr>
          <w:b/>
          <w:bCs/>
          <w:szCs w:val="22"/>
        </w:rPr>
        <w:t xml:space="preserve">Physical design </w:t>
      </w:r>
    </w:p>
    <w:p w14:paraId="7286A9F7" w14:textId="315DFF0A" w:rsidR="00FE53DD" w:rsidRDefault="00FE53DD" w:rsidP="00FE53DD">
      <w:pPr>
        <w:pStyle w:val="Default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The library contains a total of </w:t>
      </w:r>
      <w:r w:rsidR="00F41CAA">
        <w:rPr>
          <w:sz w:val="22"/>
          <w:szCs w:val="22"/>
        </w:rPr>
        <w:t>288</w:t>
      </w:r>
      <w:r>
        <w:rPr>
          <w:sz w:val="22"/>
          <w:szCs w:val="22"/>
        </w:rPr>
        <w:t xml:space="preserve"> compounds.  </w:t>
      </w:r>
    </w:p>
    <w:p w14:paraId="5281E67F" w14:textId="77777777" w:rsidR="00331381" w:rsidRPr="00331381" w:rsidRDefault="009406E9" w:rsidP="00331381">
      <w:pPr>
        <w:pStyle w:val="Default"/>
        <w:numPr>
          <w:ilvl w:val="0"/>
          <w:numId w:val="5"/>
        </w:numPr>
        <w:rPr>
          <w:sz w:val="20"/>
          <w:szCs w:val="22"/>
        </w:rPr>
      </w:pPr>
      <w:r w:rsidRPr="009406E9">
        <w:rPr>
          <w:sz w:val="22"/>
        </w:rPr>
        <w:t>Compounds are plated in the SWISSCI 3 Lens 96 well cryst</w:t>
      </w:r>
      <w:r w:rsidR="00FF61B5">
        <w:rPr>
          <w:sz w:val="22"/>
        </w:rPr>
        <w:t>allization plate shown in the F</w:t>
      </w:r>
      <w:r w:rsidRPr="009406E9">
        <w:rPr>
          <w:sz w:val="22"/>
        </w:rPr>
        <w:t>igure</w:t>
      </w:r>
      <w:r w:rsidR="00FF61B5">
        <w:rPr>
          <w:sz w:val="22"/>
        </w:rPr>
        <w:t xml:space="preserve"> below</w:t>
      </w:r>
      <w:r w:rsidRPr="009406E9">
        <w:rPr>
          <w:sz w:val="22"/>
        </w:rPr>
        <w:t xml:space="preserve">.  Every drop position is used with one compound dispensed in each of the three drops per well.  </w:t>
      </w:r>
    </w:p>
    <w:p w14:paraId="2C9FF869" w14:textId="6A4408F6" w:rsidR="00331381" w:rsidRPr="00331381" w:rsidRDefault="009406E9" w:rsidP="00331381">
      <w:pPr>
        <w:pStyle w:val="Default"/>
        <w:numPr>
          <w:ilvl w:val="0"/>
          <w:numId w:val="5"/>
        </w:numPr>
        <w:rPr>
          <w:sz w:val="20"/>
          <w:szCs w:val="22"/>
        </w:rPr>
      </w:pPr>
      <w:r w:rsidRPr="009406E9">
        <w:rPr>
          <w:sz w:val="22"/>
        </w:rPr>
        <w:t>0.5</w:t>
      </w:r>
      <w:r w:rsidRPr="009406E9">
        <w:rPr>
          <w:rFonts w:ascii="Symbol" w:hAnsi="Symbol"/>
          <w:sz w:val="22"/>
        </w:rPr>
        <w:t></w:t>
      </w:r>
      <w:r w:rsidRPr="009406E9">
        <w:rPr>
          <w:sz w:val="22"/>
        </w:rPr>
        <w:t>l of a 200mM compound stock is dried in each drop so that up to 5</w:t>
      </w:r>
      <w:r w:rsidRPr="009406E9">
        <w:rPr>
          <w:rFonts w:ascii="Symbol" w:hAnsi="Symbol"/>
          <w:sz w:val="22"/>
        </w:rPr>
        <w:t></w:t>
      </w:r>
      <w:r w:rsidRPr="009406E9">
        <w:rPr>
          <w:sz w:val="22"/>
        </w:rPr>
        <w:t>l of stabilization buffer may be added per well for a 20mM soaking</w:t>
      </w:r>
      <w:r w:rsidR="00331381">
        <w:rPr>
          <w:sz w:val="22"/>
        </w:rPr>
        <w:t xml:space="preserve"> solution</w:t>
      </w:r>
      <w:r>
        <w:rPr>
          <w:sz w:val="22"/>
        </w:rPr>
        <w:t>.</w:t>
      </w:r>
    </w:p>
    <w:p w14:paraId="1FD180A6" w14:textId="5AEA907E" w:rsidR="00331381" w:rsidRPr="009406E9" w:rsidRDefault="00331381" w:rsidP="00331381">
      <w:pPr>
        <w:pStyle w:val="Default"/>
        <w:ind w:left="720"/>
        <w:rPr>
          <w:sz w:val="20"/>
          <w:szCs w:val="22"/>
        </w:rPr>
      </w:pPr>
    </w:p>
    <w:p w14:paraId="6C35703E" w14:textId="42281A06" w:rsidR="009406E9" w:rsidRPr="009406E9" w:rsidRDefault="00331381" w:rsidP="00F95785">
      <w:pPr>
        <w:pStyle w:val="Default"/>
        <w:ind w:left="720"/>
        <w:rPr>
          <w:sz w:val="20"/>
          <w:szCs w:val="22"/>
        </w:rPr>
      </w:pPr>
      <w:r>
        <w:rPr>
          <w:noProof/>
          <w:sz w:val="20"/>
          <w:szCs w:val="22"/>
        </w:rPr>
        <w:drawing>
          <wp:inline distT="0" distB="0" distL="0" distR="0" wp14:anchorId="592A0305" wp14:editId="1CEBDEE0">
            <wp:extent cx="6400800" cy="303931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3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F0DFD" w14:textId="5E805044" w:rsidR="00495B19" w:rsidRDefault="009406E9" w:rsidP="00495B19">
      <w:pPr>
        <w:pStyle w:val="Default"/>
        <w:rPr>
          <w:sz w:val="22"/>
          <w:szCs w:val="22"/>
        </w:rPr>
      </w:pPr>
      <w:r>
        <w:t xml:space="preserve"> </w:t>
      </w:r>
    </w:p>
    <w:p w14:paraId="52E19C1F" w14:textId="23288C94" w:rsidR="00495B19" w:rsidRPr="008E5384" w:rsidRDefault="00495B19" w:rsidP="00495B19">
      <w:pPr>
        <w:pStyle w:val="Default"/>
        <w:rPr>
          <w:b/>
          <w:szCs w:val="22"/>
        </w:rPr>
      </w:pPr>
      <w:r w:rsidRPr="008E5384">
        <w:rPr>
          <w:b/>
          <w:szCs w:val="22"/>
        </w:rPr>
        <w:t>Library preparation</w:t>
      </w:r>
    </w:p>
    <w:p w14:paraId="46F85249" w14:textId="49490CAB" w:rsidR="00FE53DD" w:rsidRDefault="00FE53DD" w:rsidP="00495B19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We recommend</w:t>
      </w:r>
      <w:r w:rsidR="00766870">
        <w:rPr>
          <w:sz w:val="22"/>
          <w:szCs w:val="22"/>
        </w:rPr>
        <w:t xml:space="preserve"> that the plate be stored at </w:t>
      </w:r>
      <w:bookmarkStart w:id="0" w:name="_Hlk487636999"/>
      <w:r w:rsidR="00766870">
        <w:rPr>
          <w:sz w:val="22"/>
          <w:szCs w:val="22"/>
        </w:rPr>
        <w:t>4</w:t>
      </w:r>
      <w:r w:rsidR="00331381">
        <w:rPr>
          <w:rFonts w:ascii="Arial" w:hAnsi="Arial" w:cs="Arial"/>
          <w:sz w:val="22"/>
          <w:szCs w:val="22"/>
        </w:rPr>
        <w:t>°</w:t>
      </w:r>
      <w:r>
        <w:rPr>
          <w:sz w:val="22"/>
          <w:szCs w:val="22"/>
        </w:rPr>
        <w:t xml:space="preserve"> C</w:t>
      </w:r>
      <w:r w:rsidR="00766870">
        <w:rPr>
          <w:sz w:val="22"/>
          <w:szCs w:val="22"/>
        </w:rPr>
        <w:t>, then brought to room temperature before use.</w:t>
      </w:r>
      <w:bookmarkEnd w:id="0"/>
    </w:p>
    <w:p w14:paraId="574AC7BD" w14:textId="6A43D084" w:rsidR="00495B19" w:rsidRDefault="00495B19" w:rsidP="00495B19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We recommend centrifuging the plate before use to ensure all compound is at the bottom of the well.  </w:t>
      </w:r>
      <w:r w:rsidR="00FE53DD">
        <w:rPr>
          <w:sz w:val="22"/>
          <w:szCs w:val="22"/>
        </w:rPr>
        <w:t>Plates are centrifuged before shipment.</w:t>
      </w:r>
    </w:p>
    <w:p w14:paraId="3DC975B9" w14:textId="640898F0" w:rsidR="00C14B31" w:rsidRDefault="00C14B31" w:rsidP="00495B19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Please remove lid carefully to ensure compound remains in the wells.</w:t>
      </w:r>
    </w:p>
    <w:p w14:paraId="158D7EE5" w14:textId="4361688E" w:rsidR="00FE53DD" w:rsidRDefault="00FE53DD" w:rsidP="00FE53DD">
      <w:pPr>
        <w:pStyle w:val="Default"/>
        <w:numPr>
          <w:ilvl w:val="0"/>
          <w:numId w:val="4"/>
        </w:numPr>
        <w:rPr>
          <w:sz w:val="22"/>
          <w:szCs w:val="22"/>
        </w:rPr>
      </w:pPr>
      <w:r w:rsidRPr="004E4850">
        <w:rPr>
          <w:sz w:val="22"/>
          <w:szCs w:val="22"/>
        </w:rPr>
        <w:t xml:space="preserve">The plate is now ready for your own personal screen. </w:t>
      </w:r>
    </w:p>
    <w:p w14:paraId="73282259" w14:textId="77777777" w:rsidR="004E4850" w:rsidRPr="004E4850" w:rsidRDefault="004E4850" w:rsidP="004E4850">
      <w:pPr>
        <w:pStyle w:val="Default"/>
        <w:ind w:left="720"/>
        <w:rPr>
          <w:sz w:val="22"/>
          <w:szCs w:val="22"/>
        </w:rPr>
      </w:pPr>
    </w:p>
    <w:p w14:paraId="24843C4F" w14:textId="145CB838" w:rsidR="00495B19" w:rsidRPr="008E5384" w:rsidRDefault="00CB1015" w:rsidP="00495B19">
      <w:pPr>
        <w:spacing w:after="0" w:line="240" w:lineRule="auto"/>
        <w:rPr>
          <w:b/>
          <w:sz w:val="24"/>
        </w:rPr>
      </w:pPr>
      <w:r w:rsidRPr="008E5384">
        <w:rPr>
          <w:b/>
          <w:sz w:val="24"/>
        </w:rPr>
        <w:t>Performing the crystallographic</w:t>
      </w:r>
      <w:r w:rsidR="00495B19" w:rsidRPr="008E5384">
        <w:rPr>
          <w:b/>
          <w:sz w:val="24"/>
        </w:rPr>
        <w:t xml:space="preserve"> screen</w:t>
      </w:r>
    </w:p>
    <w:p w14:paraId="6508A001" w14:textId="5336C48F" w:rsidR="00C050B8" w:rsidRDefault="00C050B8" w:rsidP="00C050B8">
      <w:pPr>
        <w:jc w:val="both"/>
      </w:pPr>
      <w:r>
        <w:t xml:space="preserve">Express-Zen-Core288™ is pre-plated as single compounds in the </w:t>
      </w:r>
      <w:r w:rsidRPr="00F80B3F">
        <w:t xml:space="preserve">SWISSCI 3 Lens </w:t>
      </w:r>
      <w:r>
        <w:t xml:space="preserve">96 well </w:t>
      </w:r>
      <w:r w:rsidRPr="00F80B3F">
        <w:t>Crystallization Plate</w:t>
      </w:r>
      <w:r w:rsidR="009D0708">
        <w:t>:</w:t>
      </w:r>
      <w:r>
        <w:t xml:space="preserve"> </w:t>
      </w:r>
    </w:p>
    <w:p w14:paraId="16EF3017" w14:textId="1277EAA5" w:rsidR="00C050B8" w:rsidRDefault="00C050B8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>0.5</w:t>
      </w:r>
      <w:r w:rsidRPr="00050D08">
        <w:rPr>
          <w:rFonts w:ascii="Symbol" w:hAnsi="Symbol"/>
        </w:rPr>
        <w:t></w:t>
      </w:r>
      <w:r>
        <w:t>l of 200mM compound is dried down in each of the three drop positions (288 compounds total)</w:t>
      </w:r>
    </w:p>
    <w:p w14:paraId="1D71835A" w14:textId="0EED1E78" w:rsidR="00331381" w:rsidRDefault="00331381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>The attached excel file identifies well positions as A1-1, A1-2, A1-3, A2-1, A2-2, A2-3 etc.  Compound locations and numbering as are depicted in the above Figure.</w:t>
      </w:r>
    </w:p>
    <w:p w14:paraId="7114A125" w14:textId="2D09B481" w:rsidR="00C050B8" w:rsidRDefault="00C050B8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 xml:space="preserve">Dry compound eliminates organic co-solvent </w:t>
      </w:r>
      <w:r w:rsidR="00331381">
        <w:t>in the soak</w:t>
      </w:r>
    </w:p>
    <w:p w14:paraId="3F76EA86" w14:textId="685E831D" w:rsidR="00C050B8" w:rsidRDefault="00C050B8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>Add 20</w:t>
      </w:r>
      <w:r w:rsidRPr="00A25433">
        <w:rPr>
          <w:rFonts w:ascii="Symbol" w:hAnsi="Symbol"/>
        </w:rPr>
        <w:t></w:t>
      </w:r>
      <w:r>
        <w:t>l of mother liquor to the well and up to 5</w:t>
      </w:r>
      <w:r w:rsidRPr="00A25433">
        <w:rPr>
          <w:rFonts w:ascii="Symbol" w:hAnsi="Symbol"/>
        </w:rPr>
        <w:t></w:t>
      </w:r>
      <w:r>
        <w:t xml:space="preserve">l of stabilization buffer to each drop for a 20mM soaking stock </w:t>
      </w:r>
    </w:p>
    <w:p w14:paraId="0CD8EFF7" w14:textId="3F16F50E" w:rsidR="00331381" w:rsidRDefault="00331381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>Compound may be diluted in a second plate by serial dilution</w:t>
      </w:r>
    </w:p>
    <w:p w14:paraId="35EC989E" w14:textId="41823F56" w:rsidR="00E1285B" w:rsidRDefault="00E1285B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>Add one or more crystals to each well</w:t>
      </w:r>
    </w:p>
    <w:p w14:paraId="31DAE2E5" w14:textId="77A7F7CB" w:rsidR="00073418" w:rsidRDefault="00073418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lastRenderedPageBreak/>
        <w:t>Note that soaking conditions may require optimization for different crystal systems</w:t>
      </w:r>
    </w:p>
    <w:p w14:paraId="3CC4AC5F" w14:textId="565330EF" w:rsidR="00073418" w:rsidRDefault="00073418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 xml:space="preserve">As a starting point, crystals may be soaked overnight at 20mM compound </w:t>
      </w:r>
    </w:p>
    <w:p w14:paraId="1DE493C7" w14:textId="487D3433" w:rsidR="00073418" w:rsidRDefault="00073418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>Collect data and proceed with standard refinement for unbiased electron density maps</w:t>
      </w:r>
    </w:p>
    <w:p w14:paraId="06485CD3" w14:textId="1E01DA8B" w:rsidR="00073418" w:rsidRDefault="00073418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>Inspect map for ligand density</w:t>
      </w:r>
      <w:r w:rsidR="00331381">
        <w:t xml:space="preserve"> not present in the “apo</w:t>
      </w:r>
      <w:proofErr w:type="gramStart"/>
      <w:r w:rsidR="00331381">
        <w:t>-“ structure</w:t>
      </w:r>
      <w:proofErr w:type="gramEnd"/>
    </w:p>
    <w:p w14:paraId="78B8BEC9" w14:textId="03EE504F" w:rsidR="00073418" w:rsidRDefault="005E32EF" w:rsidP="0007341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>Build complex structures for “hits”</w:t>
      </w:r>
    </w:p>
    <w:p w14:paraId="500FE7AD" w14:textId="45FE522E" w:rsidR="00C050B8" w:rsidRDefault="00073418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>Once hits are identified, p</w:t>
      </w:r>
      <w:r w:rsidR="00C050B8">
        <w:t xml:space="preserve">owder re-supply </w:t>
      </w:r>
      <w:r w:rsidR="005E32EF">
        <w:t xml:space="preserve">is </w:t>
      </w:r>
      <w:r w:rsidR="00C050B8">
        <w:t>available from Zenobia</w:t>
      </w:r>
      <w:r w:rsidR="003846B9">
        <w:t xml:space="preserve"> for hit verification and additional assays</w:t>
      </w:r>
    </w:p>
    <w:p w14:paraId="0D37BF41" w14:textId="0552B53A" w:rsidR="00C050B8" w:rsidRDefault="00C050B8" w:rsidP="00C050B8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 xml:space="preserve">An average of 40 analogues </w:t>
      </w:r>
      <w:r w:rsidR="00331381">
        <w:t>are</w:t>
      </w:r>
      <w:r w:rsidR="00073418">
        <w:t xml:space="preserve"> </w:t>
      </w:r>
      <w:r>
        <w:t>available for each fragment (SARbyCatalogue).</w:t>
      </w:r>
      <w:r w:rsidRPr="00BF47F8">
        <w:t xml:space="preserve"> </w:t>
      </w:r>
      <w:r w:rsidR="00073418">
        <w:t>Custom a</w:t>
      </w:r>
      <w:r>
        <w:t xml:space="preserve">nalogue plates </w:t>
      </w:r>
      <w:r w:rsidR="00073418">
        <w:t xml:space="preserve">are </w:t>
      </w:r>
      <w:r>
        <w:t>available through Zenobia</w:t>
      </w:r>
      <w:r w:rsidR="005E32EF">
        <w:t xml:space="preserve"> as a service based upon the collection of hits identified in the screen. </w:t>
      </w:r>
      <w:r w:rsidR="00331381">
        <w:t xml:space="preserve">  Contact us for more details.</w:t>
      </w:r>
    </w:p>
    <w:p w14:paraId="4D497B02" w14:textId="561C92BA" w:rsidR="005E32EF" w:rsidRDefault="00C050B8" w:rsidP="005E32EF">
      <w:pPr>
        <w:pStyle w:val="ListParagraph"/>
        <w:numPr>
          <w:ilvl w:val="0"/>
          <w:numId w:val="6"/>
        </w:numPr>
        <w:spacing w:after="160" w:line="259" w:lineRule="auto"/>
        <w:jc w:val="both"/>
      </w:pPr>
      <w:r>
        <w:t>Individual PDB files for all ligands are provided with purchase along with excel and SD files with structures/smiles and plate format</w:t>
      </w:r>
    </w:p>
    <w:p w14:paraId="4E3959B0" w14:textId="642CD2DC" w:rsidR="005E32EF" w:rsidRPr="003B7EC2" w:rsidRDefault="005E32EF" w:rsidP="005E32EF">
      <w:pPr>
        <w:spacing w:after="160" w:line="259" w:lineRule="auto"/>
        <w:jc w:val="both"/>
        <w:rPr>
          <w:b/>
          <w:sz w:val="24"/>
        </w:rPr>
      </w:pPr>
      <w:r w:rsidRPr="003B7EC2">
        <w:rPr>
          <w:b/>
          <w:sz w:val="24"/>
        </w:rPr>
        <w:t>Helpful hints</w:t>
      </w:r>
      <w:r w:rsidR="00CC4193" w:rsidRPr="003B7EC2">
        <w:rPr>
          <w:b/>
          <w:sz w:val="24"/>
        </w:rPr>
        <w:t xml:space="preserve"> and FAQ</w:t>
      </w:r>
    </w:p>
    <w:p w14:paraId="4C75AEED" w14:textId="77777777" w:rsidR="005E32EF" w:rsidRPr="008E5384" w:rsidRDefault="005E32EF" w:rsidP="005E32EF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b/>
        </w:rPr>
      </w:pPr>
      <w:r w:rsidRPr="008E5384">
        <w:rPr>
          <w:b/>
        </w:rPr>
        <w:t>What should I do to prepare for the crystal screen?</w:t>
      </w:r>
    </w:p>
    <w:p w14:paraId="64541A0B" w14:textId="5F22CDDC" w:rsidR="005E32EF" w:rsidRDefault="005E32EF" w:rsidP="005E32EF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Before initiating a crystal screen, it is useful to establish “standard” soaking conditions to understand the tolerability of your crystal to ligands. Because this library is provided as a dry film, one</w:t>
      </w:r>
      <w:r w:rsidR="008E5384">
        <w:t xml:space="preserve"> can eliminate the need to test for </w:t>
      </w:r>
      <w:r w:rsidR="00331381">
        <w:t xml:space="preserve">organic </w:t>
      </w:r>
      <w:r w:rsidR="008E5384">
        <w:t>co-solvent tolerance</w:t>
      </w:r>
      <w:r w:rsidR="003B7EC2">
        <w:t xml:space="preserve">. </w:t>
      </w:r>
      <w:r>
        <w:t xml:space="preserve">If your crystallization conditions permit, one may test soaking in cryo-solution to remove the added step of cryoprotection before </w:t>
      </w:r>
      <w:r w:rsidR="00DF3EC4">
        <w:t>freezing. In principle, ligands should diffuse into crystals very rapidly (minutes) but it can take longer to reach equilibrium for low solvent content crystals or partially occluded active sites. Zenobia typically soaks overnight</w:t>
      </w:r>
      <w:r w:rsidR="00F26DDE">
        <w:t>,</w:t>
      </w:r>
      <w:r w:rsidR="00DF3EC4">
        <w:t xml:space="preserve"> but this is a parameter that </w:t>
      </w:r>
      <w:r w:rsidR="00331381">
        <w:t>may</w:t>
      </w:r>
      <w:r w:rsidR="00DF3EC4">
        <w:t xml:space="preserve"> be optimized for each crystal system.</w:t>
      </w:r>
    </w:p>
    <w:p w14:paraId="52F08E51" w14:textId="2562D68B" w:rsidR="00DF3EC4" w:rsidRPr="008E5384" w:rsidRDefault="00DF3EC4" w:rsidP="00DF3EC4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b/>
        </w:rPr>
      </w:pPr>
      <w:r w:rsidRPr="008E5384">
        <w:rPr>
          <w:b/>
        </w:rPr>
        <w:t>My crystals cracked when I added them to the soak, what should I do?</w:t>
      </w:r>
    </w:p>
    <w:p w14:paraId="707403D2" w14:textId="02BDEF0A" w:rsidR="00DF3EC4" w:rsidRDefault="00DF3EC4" w:rsidP="00DF3EC4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Crystal cracking can result from a few different scenarios. Typically, one wants to reduce the strain on the crystal by soaking at lower compound concentr</w:t>
      </w:r>
      <w:r w:rsidR="00F26DDE">
        <w:t xml:space="preserve">ation for shorter time periods. </w:t>
      </w:r>
      <w:r>
        <w:t xml:space="preserve">Crystals may also be uniquely sensitive to certain </w:t>
      </w:r>
      <w:r w:rsidR="00F26DDE">
        <w:t xml:space="preserve">compounds or compound classes. </w:t>
      </w:r>
      <w:r>
        <w:t xml:space="preserve">These compounds may bind at crystal contacts.  In this case, gentler soaking conditions may be applied to these specific compounds.  </w:t>
      </w:r>
    </w:p>
    <w:p w14:paraId="5BCD613F" w14:textId="44B5A4E4" w:rsidR="00DF3EC4" w:rsidRDefault="00DF3EC4" w:rsidP="00DF3EC4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 xml:space="preserve">If you have not tested soaking for a ligand known to bind to your binding site, the best path forward is to complete this experiment, even if it is a fragment of the ligand or substrate. This will </w:t>
      </w:r>
      <w:r w:rsidR="00E961B7">
        <w:t>suggest</w:t>
      </w:r>
      <w:r>
        <w:t xml:space="preserve"> if ligand binding at the active site results in a conformational shift that results in crystal cracking.</w:t>
      </w:r>
    </w:p>
    <w:p w14:paraId="11436138" w14:textId="15A5FF4A" w:rsidR="00DF3EC4" w:rsidRDefault="00DF3EC4" w:rsidP="00DF3EC4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In some cases,</w:t>
      </w:r>
      <w:r w:rsidR="00534DCF">
        <w:t xml:space="preserve"> a</w:t>
      </w:r>
      <w:r>
        <w:t xml:space="preserve"> </w:t>
      </w:r>
      <w:r w:rsidR="009601F8">
        <w:t xml:space="preserve">ligand binding at </w:t>
      </w:r>
      <w:r>
        <w:t>previously unknown secondary binding sites</w:t>
      </w:r>
      <w:r w:rsidR="00534DCF">
        <w:t xml:space="preserve"> can result in crystal cracking. </w:t>
      </w:r>
      <w:r w:rsidR="00B16B48">
        <w:t>If a sub</w:t>
      </w:r>
      <w:r>
        <w:t>set of ligands result</w:t>
      </w:r>
      <w:r w:rsidR="00B16B48">
        <w:t>s</w:t>
      </w:r>
      <w:r>
        <w:t xml:space="preserve"> in crysta</w:t>
      </w:r>
      <w:r w:rsidR="00534DCF">
        <w:t>l cracking and</w:t>
      </w:r>
      <w:r>
        <w:t xml:space="preserve"> a co-crystal structure</w:t>
      </w:r>
      <w:r w:rsidR="00534DCF">
        <w:t xml:space="preserve"> cannot be obtained</w:t>
      </w:r>
      <w:r>
        <w:t xml:space="preserve"> by soaking, one may set-up </w:t>
      </w:r>
      <w:r w:rsidR="00E961B7">
        <w:t>more traditional</w:t>
      </w:r>
      <w:r>
        <w:t xml:space="preserve"> co-crystallization </w:t>
      </w:r>
      <w:r w:rsidR="00E961B7">
        <w:t>experiments</w:t>
      </w:r>
      <w:r>
        <w:t xml:space="preserve"> with the ligand</w:t>
      </w:r>
      <w:r w:rsidR="00E961B7">
        <w:t xml:space="preserve"> to identify a new crystal packing</w:t>
      </w:r>
      <w:r w:rsidR="00534DCF">
        <w:t xml:space="preserve">. </w:t>
      </w:r>
      <w:r>
        <w:t xml:space="preserve">Ligand may be diluted out of the soaking solution or dry compound may be purchased from Zenobia for additional testing. </w:t>
      </w:r>
    </w:p>
    <w:p w14:paraId="29A6F8BA" w14:textId="25E9843D" w:rsidR="00CC4193" w:rsidRDefault="00B35DD0" w:rsidP="00DF3EC4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If you are testing mixtures, and a</w:t>
      </w:r>
      <w:r w:rsidR="00B16B48">
        <w:t xml:space="preserve"> sub</w:t>
      </w:r>
      <w:r w:rsidR="00CC4193">
        <w:t>set of mixtures results in crystal cracking, one may obtain individual compounds to deconvolute and identify the ligand resulting in the crystal crack.</w:t>
      </w:r>
    </w:p>
    <w:p w14:paraId="794134E9" w14:textId="2CBCD586" w:rsidR="009601F8" w:rsidRPr="008E5384" w:rsidRDefault="009601F8" w:rsidP="009601F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b/>
        </w:rPr>
      </w:pPr>
      <w:r w:rsidRPr="008E5384">
        <w:rPr>
          <w:b/>
        </w:rPr>
        <w:t>Some of the compounds are not soluble in my mother liquor.  What should I do?</w:t>
      </w:r>
    </w:p>
    <w:p w14:paraId="63585297" w14:textId="61CD96AC" w:rsidR="009601F8" w:rsidRDefault="009601F8" w:rsidP="009601F8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The crystal soak experiment establishes an equilibrium between free ligand and bound ligand.  If some of the ligand is not fully dissolved</w:t>
      </w:r>
      <w:r w:rsidR="00534DCF">
        <w:t>,</w:t>
      </w:r>
      <w:r>
        <w:t xml:space="preserve"> then the equilibrium includes undissolved ligand, dissolved ligand</w:t>
      </w:r>
      <w:r w:rsidR="00534DCF">
        <w:t>,</w:t>
      </w:r>
      <w:r>
        <w:t xml:space="preserve"> and bound ligand. It has been demonstrated that this is not </w:t>
      </w:r>
      <w:r w:rsidR="00F873A1">
        <w:t xml:space="preserve">an issue in crystal screening. </w:t>
      </w:r>
      <w:r>
        <w:t xml:space="preserve">To ensure that your soak reaches full equilibrium including bound ligand, we suggest soaking these compounds overnight </w:t>
      </w:r>
      <w:r w:rsidR="00B16B48">
        <w:t>(</w:t>
      </w:r>
      <w:r>
        <w:t>if the crystal tolerates it</w:t>
      </w:r>
      <w:r w:rsidR="00B16B48">
        <w:t>)</w:t>
      </w:r>
      <w:r>
        <w:t xml:space="preserve">.  </w:t>
      </w:r>
    </w:p>
    <w:p w14:paraId="4C3CF401" w14:textId="2636AF12" w:rsidR="009601F8" w:rsidRPr="008E5384" w:rsidRDefault="009601F8" w:rsidP="009601F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b/>
        </w:rPr>
      </w:pPr>
      <w:r w:rsidRPr="008E5384">
        <w:rPr>
          <w:b/>
        </w:rPr>
        <w:t>How can I use your plates to test different soaking conditions?</w:t>
      </w:r>
    </w:p>
    <w:p w14:paraId="1AE717E3" w14:textId="480FDC77" w:rsidR="009601F8" w:rsidRDefault="009601F8" w:rsidP="009601F8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We suggest preparing the 20mM stock as described and completing serial dilutions of compound into a separate plate to test different soaking concentrations.</w:t>
      </w:r>
    </w:p>
    <w:p w14:paraId="23899C6C" w14:textId="1CD54022" w:rsidR="009601F8" w:rsidRPr="008E5384" w:rsidRDefault="009601F8" w:rsidP="009601F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b/>
        </w:rPr>
      </w:pPr>
      <w:r w:rsidRPr="008E5384">
        <w:rPr>
          <w:b/>
        </w:rPr>
        <w:t>What if I cannot obtain crystals in the absence of ligand</w:t>
      </w:r>
      <w:r w:rsidR="00534DCF">
        <w:rPr>
          <w:b/>
        </w:rPr>
        <w:t>? C</w:t>
      </w:r>
      <w:r w:rsidRPr="008E5384">
        <w:rPr>
          <w:b/>
        </w:rPr>
        <w:t>an I still do a crystal screen?</w:t>
      </w:r>
    </w:p>
    <w:p w14:paraId="16F59363" w14:textId="522B322B" w:rsidR="009601F8" w:rsidRDefault="009601F8" w:rsidP="009601F8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Yes! In many cases, co-crystals may be obtained in the presence of a weakly binding ligand.  One may soak this ligand out and soak a new ligand into the crystals.  This can work even for very tightly binding ligands</w:t>
      </w:r>
      <w:r w:rsidR="00F873A1">
        <w:t>,</w:t>
      </w:r>
      <w:r>
        <w:t xml:space="preserve"> </w:t>
      </w:r>
      <w:r>
        <w:lastRenderedPageBreak/>
        <w:t>but it may require very long soak times</w:t>
      </w:r>
      <w:r w:rsidR="00B35DD0">
        <w:t xml:space="preserve"> (days)</w:t>
      </w:r>
      <w:r>
        <w:t xml:space="preserve"> for the </w:t>
      </w:r>
      <w:r w:rsidR="00B35DD0">
        <w:t xml:space="preserve">ligand to diffuse out of the </w:t>
      </w:r>
      <w:r>
        <w:t>co-crystal in mother liquor containing no ligand.</w:t>
      </w:r>
    </w:p>
    <w:p w14:paraId="5066EDD8" w14:textId="56756CA8" w:rsidR="00F26DDE" w:rsidRDefault="009601F8" w:rsidP="00F26DDE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Alternatively, Zenobia’s plates may also be used for co-crystallization experiments by</w:t>
      </w:r>
      <w:r w:rsidR="00E961B7">
        <w:t xml:space="preserve"> adding protein and mother liquor directly to the drop and incubating as a ty</w:t>
      </w:r>
      <w:r w:rsidR="00F873A1">
        <w:t xml:space="preserve">pical sitting drop experiment. </w:t>
      </w:r>
      <w:r w:rsidR="00E961B7">
        <w:t xml:space="preserve">Compound concentration may be varied by serial dilution as described above. </w:t>
      </w:r>
    </w:p>
    <w:p w14:paraId="26C182E1" w14:textId="4852B095" w:rsidR="00CC4193" w:rsidRPr="008E5384" w:rsidRDefault="00CC4193" w:rsidP="00CC4193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b/>
        </w:rPr>
      </w:pPr>
      <w:r w:rsidRPr="008E5384">
        <w:rPr>
          <w:b/>
        </w:rPr>
        <w:t>I have a hit, now what do I do?</w:t>
      </w:r>
    </w:p>
    <w:p w14:paraId="274D1FC5" w14:textId="0C14CC97" w:rsidR="00CC4193" w:rsidRDefault="00CC4193" w:rsidP="00CC4193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This depend</w:t>
      </w:r>
      <w:r w:rsidR="00F873A1">
        <w:t xml:space="preserve">s on the goal of your project. </w:t>
      </w:r>
      <w:r>
        <w:t>One may obtain additional</w:t>
      </w:r>
      <w:r w:rsidR="00F873A1">
        <w:t xml:space="preserve"> dry powder to verify the hit using</w:t>
      </w:r>
      <w:r>
        <w:t xml:space="preserve"> additional crystallography,</w:t>
      </w:r>
      <w:r w:rsidR="00F873A1">
        <w:t xml:space="preserve"> an</w:t>
      </w:r>
      <w:r>
        <w:t xml:space="preserve"> activity assay</w:t>
      </w:r>
      <w:r w:rsidR="00F873A1">
        <w:t xml:space="preserve">, or binding experiments. </w:t>
      </w:r>
      <w:r>
        <w:t>One may also look at the collection and the individual hits to design follow-on screening libraries to i</w:t>
      </w:r>
      <w:r w:rsidR="00F873A1">
        <w:t xml:space="preserve">mprove potency or specificity. </w:t>
      </w:r>
      <w:r>
        <w:t xml:space="preserve">Zenobia provides both the dry powder and design of follow-on libraries from this </w:t>
      </w:r>
      <w:r w:rsidR="00B35DD0">
        <w:t>288-compound</w:t>
      </w:r>
      <w:r>
        <w:t xml:space="preserve"> collection.</w:t>
      </w:r>
    </w:p>
    <w:p w14:paraId="1A002EA8" w14:textId="28FCAE80" w:rsidR="00CC4193" w:rsidRPr="008E5384" w:rsidRDefault="00CC4193" w:rsidP="00CC4193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b/>
        </w:rPr>
      </w:pPr>
      <w:r w:rsidRPr="008E5384">
        <w:rPr>
          <w:b/>
        </w:rPr>
        <w:t>I didn’t get any hits?  How is this possible?</w:t>
      </w:r>
    </w:p>
    <w:p w14:paraId="410696AA" w14:textId="77777777" w:rsidR="00B35DD0" w:rsidRDefault="00CC4193" w:rsidP="00CC4193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If this</w:t>
      </w:r>
      <w:r w:rsidR="00F873A1">
        <w:t xml:space="preserve"> </w:t>
      </w:r>
      <w:r>
        <w:t>is a known druggable target, this issue may be</w:t>
      </w:r>
      <w:r w:rsidR="00F873A1">
        <w:t xml:space="preserve"> technical. </w:t>
      </w:r>
      <w:r w:rsidR="00081A39">
        <w:t xml:space="preserve">If you have not verified that a known ligand binds to your </w:t>
      </w:r>
      <w:r w:rsidR="00F873A1">
        <w:t>site, complete this experiment.</w:t>
      </w:r>
      <w:r w:rsidR="00081A39">
        <w:t xml:space="preserve"> </w:t>
      </w:r>
    </w:p>
    <w:p w14:paraId="3E323617" w14:textId="289408C4" w:rsidR="00081A39" w:rsidRDefault="00081A39" w:rsidP="00CC4193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If you do not have a known ligand</w:t>
      </w:r>
      <w:r w:rsidR="00B35DD0">
        <w:t xml:space="preserve"> to test as a control</w:t>
      </w:r>
      <w:r>
        <w:t>:</w:t>
      </w:r>
    </w:p>
    <w:p w14:paraId="00BF3D25" w14:textId="34F4DB38" w:rsidR="00CC4193" w:rsidRDefault="00081A39" w:rsidP="00F873A1">
      <w:pPr>
        <w:pStyle w:val="ListParagraph"/>
        <w:numPr>
          <w:ilvl w:val="2"/>
          <w:numId w:val="7"/>
        </w:numPr>
        <w:spacing w:after="160" w:line="259" w:lineRule="auto"/>
        <w:jc w:val="both"/>
      </w:pPr>
      <w:r>
        <w:t xml:space="preserve">First, closely examine </w:t>
      </w:r>
      <w:proofErr w:type="gramStart"/>
      <w:r>
        <w:t>all of</w:t>
      </w:r>
      <w:proofErr w:type="gramEnd"/>
      <w:r>
        <w:t xml:space="preserve"> your electron density maps for a feature that is consistent but larger t</w:t>
      </w:r>
      <w:r w:rsidR="00F873A1">
        <w:t xml:space="preserve">han a water molecule. </w:t>
      </w:r>
      <w:r>
        <w:t>It is possible that a cryo-molecule or crystallization reagent is binding to the ligand binding site and blocking binding of other ligands.</w:t>
      </w:r>
    </w:p>
    <w:p w14:paraId="42AEF2DF" w14:textId="64D68209" w:rsidR="00081A39" w:rsidRDefault="00081A39" w:rsidP="00F873A1">
      <w:pPr>
        <w:pStyle w:val="ListParagraph"/>
        <w:numPr>
          <w:ilvl w:val="2"/>
          <w:numId w:val="7"/>
        </w:numPr>
        <w:spacing w:after="160" w:line="259" w:lineRule="auto"/>
        <w:jc w:val="both"/>
      </w:pPr>
      <w:r>
        <w:t>Look closely at the crystal packing, is it possible that the active site is blocked by a neighboring molecule?</w:t>
      </w:r>
    </w:p>
    <w:p w14:paraId="144771C2" w14:textId="522109D0" w:rsidR="00081A39" w:rsidRDefault="00081A39" w:rsidP="00F873A1">
      <w:pPr>
        <w:pStyle w:val="ListParagraph"/>
        <w:numPr>
          <w:ilvl w:val="2"/>
          <w:numId w:val="7"/>
        </w:numPr>
        <w:spacing w:after="160" w:line="259" w:lineRule="auto"/>
        <w:jc w:val="both"/>
      </w:pPr>
      <w:r>
        <w:t>If this is a “difficult” target, do you have a binding pocket that can accommodate a ligand?  Is your target undruggable?</w:t>
      </w:r>
    </w:p>
    <w:p w14:paraId="58825CC2" w14:textId="0716FD02" w:rsidR="00B35DD0" w:rsidRDefault="00B35DD0" w:rsidP="00F873A1">
      <w:pPr>
        <w:pStyle w:val="ListParagraph"/>
        <w:numPr>
          <w:ilvl w:val="2"/>
          <w:numId w:val="7"/>
        </w:numPr>
        <w:spacing w:after="160" w:line="259" w:lineRule="auto"/>
        <w:jc w:val="both"/>
      </w:pPr>
      <w:r>
        <w:t>Might your protein undergo a conformational change not accommodated in the crystal?  Try co-crystallization or test binding by other methods.  Zenobia offers screening services beyond crystallography and custom single-use plates for other methods.</w:t>
      </w:r>
    </w:p>
    <w:p w14:paraId="0BE3F0DB" w14:textId="691370DF" w:rsidR="00081A39" w:rsidRDefault="00081A39" w:rsidP="00CC4193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>To verify a lack of hits, one may also set-up co-crystallization experiments</w:t>
      </w:r>
    </w:p>
    <w:p w14:paraId="29DE082F" w14:textId="5012DED9" w:rsidR="00081A39" w:rsidRDefault="00081A39" w:rsidP="00CC4193">
      <w:pPr>
        <w:pStyle w:val="ListParagraph"/>
        <w:numPr>
          <w:ilvl w:val="1"/>
          <w:numId w:val="7"/>
        </w:numPr>
        <w:spacing w:after="160" w:line="259" w:lineRule="auto"/>
        <w:jc w:val="both"/>
      </w:pPr>
      <w:r>
        <w:t xml:space="preserve">Note that Zenobia will supply up to 1 </w:t>
      </w:r>
      <w:proofErr w:type="spellStart"/>
      <w:r>
        <w:t>hr</w:t>
      </w:r>
      <w:proofErr w:type="spellEnd"/>
      <w:r>
        <w:t xml:space="preserve"> of free consultation on projects that provide no hits to aid in troubleshooting.</w:t>
      </w:r>
      <w:r w:rsidR="004D6983">
        <w:t xml:space="preserve">  Your success is our success!</w:t>
      </w:r>
      <w:bookmarkStart w:id="1" w:name="_GoBack"/>
      <w:bookmarkEnd w:id="1"/>
    </w:p>
    <w:p w14:paraId="4691E2A0" w14:textId="77777777" w:rsidR="00495B19" w:rsidRPr="00E35DE2" w:rsidRDefault="00495B19" w:rsidP="00495B19">
      <w:pPr>
        <w:rPr>
          <w:b/>
        </w:rPr>
      </w:pPr>
      <w:r w:rsidRPr="00E35DE2">
        <w:rPr>
          <w:b/>
        </w:rPr>
        <w:t>For technical support, please contact erika@zenobiatherapeutics.com</w:t>
      </w:r>
    </w:p>
    <w:p w14:paraId="148A1ABD" w14:textId="77777777" w:rsidR="007001E9" w:rsidRDefault="007001E9" w:rsidP="007001E9">
      <w:pPr>
        <w:pStyle w:val="Default"/>
      </w:pPr>
    </w:p>
    <w:p w14:paraId="148A1ABE" w14:textId="4B6984EA" w:rsidR="007001E9" w:rsidRDefault="007001E9" w:rsidP="007001E9">
      <w:pPr>
        <w:pStyle w:val="Default"/>
      </w:pPr>
      <w:r>
        <w:t xml:space="preserve"> </w:t>
      </w:r>
    </w:p>
    <w:p w14:paraId="148A1AD2" w14:textId="77777777" w:rsidR="007001E9" w:rsidRPr="00A77BA5" w:rsidRDefault="007001E9" w:rsidP="007001E9"/>
    <w:p w14:paraId="148A1AD3" w14:textId="77777777" w:rsidR="0066661F" w:rsidRDefault="00B35DD0"/>
    <w:sectPr w:rsidR="0066661F" w:rsidSect="00217B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75A28"/>
    <w:multiLevelType w:val="hybridMultilevel"/>
    <w:tmpl w:val="F9C6A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A40DD"/>
    <w:multiLevelType w:val="hybridMultilevel"/>
    <w:tmpl w:val="EB0C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C20C0"/>
    <w:multiLevelType w:val="hybridMultilevel"/>
    <w:tmpl w:val="2710E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24F07"/>
    <w:multiLevelType w:val="hybridMultilevel"/>
    <w:tmpl w:val="04EE7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016B9"/>
    <w:multiLevelType w:val="hybridMultilevel"/>
    <w:tmpl w:val="E8AA4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F5183"/>
    <w:multiLevelType w:val="hybridMultilevel"/>
    <w:tmpl w:val="84AC2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A6047"/>
    <w:multiLevelType w:val="hybridMultilevel"/>
    <w:tmpl w:val="C0145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1E9"/>
    <w:rsid w:val="00073418"/>
    <w:rsid w:val="00081A39"/>
    <w:rsid w:val="000A40AB"/>
    <w:rsid w:val="000B7C31"/>
    <w:rsid w:val="001774C2"/>
    <w:rsid w:val="001A20A4"/>
    <w:rsid w:val="001D2B13"/>
    <w:rsid w:val="00217B4C"/>
    <w:rsid w:val="003046EB"/>
    <w:rsid w:val="0032306D"/>
    <w:rsid w:val="00331381"/>
    <w:rsid w:val="003846B9"/>
    <w:rsid w:val="003B7EC2"/>
    <w:rsid w:val="00434BF6"/>
    <w:rsid w:val="00495B19"/>
    <w:rsid w:val="004A178A"/>
    <w:rsid w:val="004A6505"/>
    <w:rsid w:val="004D6983"/>
    <w:rsid w:val="004E4850"/>
    <w:rsid w:val="00517A1F"/>
    <w:rsid w:val="00534DCF"/>
    <w:rsid w:val="005E32EF"/>
    <w:rsid w:val="00671160"/>
    <w:rsid w:val="006A1B71"/>
    <w:rsid w:val="006B5F25"/>
    <w:rsid w:val="006C5F5A"/>
    <w:rsid w:val="007001E9"/>
    <w:rsid w:val="00701BD4"/>
    <w:rsid w:val="0075036F"/>
    <w:rsid w:val="00766870"/>
    <w:rsid w:val="007A79F8"/>
    <w:rsid w:val="007B0051"/>
    <w:rsid w:val="007B2E46"/>
    <w:rsid w:val="007F7B98"/>
    <w:rsid w:val="00857A4C"/>
    <w:rsid w:val="008C053A"/>
    <w:rsid w:val="008C4AB2"/>
    <w:rsid w:val="008E5384"/>
    <w:rsid w:val="009406E9"/>
    <w:rsid w:val="009601F8"/>
    <w:rsid w:val="009D0708"/>
    <w:rsid w:val="009D1FE5"/>
    <w:rsid w:val="00A108CA"/>
    <w:rsid w:val="00B16B48"/>
    <w:rsid w:val="00B35DD0"/>
    <w:rsid w:val="00B50885"/>
    <w:rsid w:val="00B8108B"/>
    <w:rsid w:val="00C050B8"/>
    <w:rsid w:val="00C14B31"/>
    <w:rsid w:val="00CB1015"/>
    <w:rsid w:val="00CC4193"/>
    <w:rsid w:val="00D06395"/>
    <w:rsid w:val="00D62744"/>
    <w:rsid w:val="00D87125"/>
    <w:rsid w:val="00DF3EC4"/>
    <w:rsid w:val="00E1285B"/>
    <w:rsid w:val="00E961B7"/>
    <w:rsid w:val="00F26DDE"/>
    <w:rsid w:val="00F41CAA"/>
    <w:rsid w:val="00F873A1"/>
    <w:rsid w:val="00F95785"/>
    <w:rsid w:val="00FC4D91"/>
    <w:rsid w:val="00FC7E6C"/>
    <w:rsid w:val="00FE53DD"/>
    <w:rsid w:val="00FF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A1A9C"/>
  <w15:docId w15:val="{40152865-A472-4C43-BC7C-CC9DB378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0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001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00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5B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F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9217ABB7A1EC4DAEA0C0C568C0EEC4" ma:contentTypeVersion="4" ma:contentTypeDescription="Create a new document." ma:contentTypeScope="" ma:versionID="7ff85ad6281d43e91ea4c45edfe2b2c3">
  <xsd:schema xmlns:xsd="http://www.w3.org/2001/XMLSchema" xmlns:xs="http://www.w3.org/2001/XMLSchema" xmlns:p="http://schemas.microsoft.com/office/2006/metadata/properties" xmlns:ns2="b412130a-7ff4-4e9e-b048-637c16e89f3e" xmlns:ns3="720b1128-1502-40bb-9ee3-ced122d2926d" targetNamespace="http://schemas.microsoft.com/office/2006/metadata/properties" ma:root="true" ma:fieldsID="adc77b875f21d3326436d0c34354cdff" ns2:_="" ns3:_="">
    <xsd:import namespace="b412130a-7ff4-4e9e-b048-637c16e89f3e"/>
    <xsd:import namespace="720b1128-1502-40bb-9ee3-ced122d292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2130a-7ff4-4e9e-b048-637c16e89f3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b1128-1502-40bb-9ee3-ced122d292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D56BBE-6D41-4508-AFA4-C6A315BAF8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C830E2E-88F6-408F-9559-6742D92FF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01A069-929C-49E1-9676-3DF30336A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2130a-7ff4-4e9e-b048-637c16e89f3e"/>
    <ds:schemaRef ds:uri="720b1128-1502-40bb-9ee3-ced122d292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Vicki Nienaber</cp:lastModifiedBy>
  <cp:revision>2</cp:revision>
  <cp:lastPrinted>2015-07-08T18:45:00Z</cp:lastPrinted>
  <dcterms:created xsi:type="dcterms:W3CDTF">2017-07-19T19:54:00Z</dcterms:created>
  <dcterms:modified xsi:type="dcterms:W3CDTF">2017-07-19T19:54:00Z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0x010100709217ABB7A1EC4DAEA0C0C568C0EEC4</vt:lpwstr>
  </property>
  <property fmtid="{D5CDD505-2E9C-101B-9397-08002B2CF9AE}" pid="3" name="IsMyDocuments">
    <vt:bool>true</vt:bool>
  </property>
</Properties>
</file>